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73" w:rsidRDefault="00797F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7F73" w:rsidRDefault="00797F73">
      <w:pPr>
        <w:pStyle w:val="ConsPlusNormal"/>
        <w:jc w:val="both"/>
        <w:outlineLvl w:val="0"/>
      </w:pPr>
    </w:p>
    <w:p w:rsidR="00797F73" w:rsidRDefault="00797F73">
      <w:pPr>
        <w:pStyle w:val="ConsPlusTitle"/>
        <w:jc w:val="center"/>
        <w:outlineLvl w:val="0"/>
      </w:pPr>
      <w:r>
        <w:t>АДМИНИСТРАЦИЯ ГОРОДА КРАСНОЯРСКА</w:t>
      </w:r>
    </w:p>
    <w:p w:rsidR="00797F73" w:rsidRDefault="00797F73">
      <w:pPr>
        <w:pStyle w:val="ConsPlusTitle"/>
        <w:jc w:val="center"/>
      </w:pPr>
    </w:p>
    <w:p w:rsidR="00797F73" w:rsidRDefault="00797F73">
      <w:pPr>
        <w:pStyle w:val="ConsPlusTitle"/>
        <w:jc w:val="center"/>
      </w:pPr>
      <w:r>
        <w:t>РАСПОРЯЖЕНИЕ</w:t>
      </w:r>
    </w:p>
    <w:p w:rsidR="00797F73" w:rsidRDefault="00797F73">
      <w:pPr>
        <w:pStyle w:val="ConsPlusTitle"/>
        <w:jc w:val="center"/>
      </w:pPr>
      <w:r>
        <w:t>от 8 февраля 2011 г. N 15-р</w:t>
      </w:r>
    </w:p>
    <w:p w:rsidR="00797F73" w:rsidRDefault="00797F73">
      <w:pPr>
        <w:pStyle w:val="ConsPlusTitle"/>
        <w:jc w:val="center"/>
      </w:pPr>
    </w:p>
    <w:p w:rsidR="00797F73" w:rsidRDefault="00797F73">
      <w:pPr>
        <w:pStyle w:val="ConsPlusTitle"/>
        <w:jc w:val="center"/>
      </w:pPr>
      <w:r>
        <w:t>ОБ УТВЕРЖДЕНИИ ПОЛОЖЕНИЯ</w:t>
      </w:r>
    </w:p>
    <w:p w:rsidR="00797F73" w:rsidRDefault="00797F73">
      <w:pPr>
        <w:pStyle w:val="ConsPlusTitle"/>
        <w:jc w:val="center"/>
      </w:pPr>
      <w:r>
        <w:t>ОБ УПРАВЛЕНИИ УЧЕТА И РЕАЛИЗАЦИИ ЖИЛИЩНОЙ ПОЛИТИКИ</w:t>
      </w:r>
    </w:p>
    <w:p w:rsidR="00797F73" w:rsidRDefault="00797F73">
      <w:pPr>
        <w:pStyle w:val="ConsPlusTitle"/>
        <w:jc w:val="center"/>
      </w:pPr>
      <w:r>
        <w:t>АДМИНИСТРАЦИИ ГОРОДА КРАСНОЯРСКА</w:t>
      </w:r>
    </w:p>
    <w:p w:rsidR="00797F73" w:rsidRDefault="00797F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797F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15.06.2011 </w:t>
            </w:r>
            <w:hyperlink r:id="rId6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05.09.2011 </w:t>
            </w:r>
            <w:hyperlink r:id="rId7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08.06.2012 </w:t>
            </w:r>
            <w:hyperlink r:id="rId8">
              <w:r>
                <w:rPr>
                  <w:color w:val="0000FF"/>
                </w:rPr>
                <w:t>N 91-р</w:t>
              </w:r>
            </w:hyperlink>
            <w:r>
              <w:rPr>
                <w:color w:val="392C69"/>
              </w:rPr>
              <w:t xml:space="preserve">, от 03.09.2012 </w:t>
            </w:r>
            <w:hyperlink r:id="rId9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10">
              <w:r>
                <w:rPr>
                  <w:color w:val="0000FF"/>
                </w:rPr>
                <w:t>N 225-р</w:t>
              </w:r>
            </w:hyperlink>
            <w:r>
              <w:rPr>
                <w:color w:val="392C69"/>
              </w:rPr>
              <w:t xml:space="preserve">, от 18.02.2013 </w:t>
            </w:r>
            <w:hyperlink r:id="rId11">
              <w:r>
                <w:rPr>
                  <w:color w:val="0000FF"/>
                </w:rPr>
                <w:t>N 24-р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>
              <w:r>
                <w:rPr>
                  <w:color w:val="0000FF"/>
                </w:rPr>
                <w:t>N 141-р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13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 xml:space="preserve">, от 20.01.2014 </w:t>
            </w:r>
            <w:hyperlink r:id="rId1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 xml:space="preserve">, от 15.07.2014 </w:t>
            </w:r>
            <w:hyperlink r:id="rId15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6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 xml:space="preserve">, от 31.01.2018 </w:t>
            </w:r>
            <w:hyperlink r:id="rId17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 xml:space="preserve">, от 22.05.2018 </w:t>
            </w:r>
            <w:hyperlink r:id="rId18">
              <w:r>
                <w:rPr>
                  <w:color w:val="0000FF"/>
                </w:rPr>
                <w:t>N 195-р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9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09.10.2018 </w:t>
            </w:r>
            <w:hyperlink r:id="rId20">
              <w:r>
                <w:rPr>
                  <w:color w:val="0000FF"/>
                </w:rPr>
                <w:t>N 346-р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2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2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30.08.2021 </w:t>
            </w:r>
            <w:hyperlink r:id="rId23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 xml:space="preserve">, от 28.04.2022 </w:t>
            </w:r>
            <w:hyperlink r:id="rId24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25">
              <w:r>
                <w:rPr>
                  <w:color w:val="0000FF"/>
                </w:rPr>
                <w:t>N 220-р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2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15.08.2024 </w:t>
            </w:r>
            <w:hyperlink r:id="rId27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</w:tr>
    </w:tbl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 xml:space="preserve">В целях приведения правовых актов города в соответствие с действующим законодательством, руководствуясь </w:t>
      </w:r>
      <w:hyperlink r:id="rId28">
        <w:r>
          <w:rPr>
            <w:color w:val="0000FF"/>
          </w:rPr>
          <w:t>ст. ст. 45</w:t>
        </w:r>
      </w:hyperlink>
      <w:r>
        <w:t xml:space="preserve">, </w:t>
      </w:r>
      <w:hyperlink r:id="rId29">
        <w:r>
          <w:rPr>
            <w:color w:val="0000FF"/>
          </w:rPr>
          <w:t>58</w:t>
        </w:r>
      </w:hyperlink>
      <w:r>
        <w:t xml:space="preserve">, </w:t>
      </w:r>
      <w:hyperlink r:id="rId30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управлении учета и реализации жилищной политики администрации города Красноярска согласно приложению.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Распоряжение</w:t>
        </w:r>
      </w:hyperlink>
      <w:r>
        <w:t xml:space="preserve"> Главы города от 16.10.2008 N 247-р;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Распоряжение</w:t>
        </w:r>
      </w:hyperlink>
      <w:r>
        <w:t xml:space="preserve"> Главы города от 23.04.2009 N 78-р;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Распоряжение</w:t>
        </w:r>
      </w:hyperlink>
      <w:r>
        <w:t xml:space="preserve"> администрации города от 31.12.2009 N 270-р "О внесении изменений в </w:t>
      </w:r>
      <w:hyperlink r:id="rId34">
        <w:r>
          <w:rPr>
            <w:color w:val="0000FF"/>
          </w:rPr>
          <w:t>Распоряжение</w:t>
        </w:r>
      </w:hyperlink>
      <w:r>
        <w:t xml:space="preserve"> Главы города от 16.10.2008 N 247-р".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Главы города - руководителя департамента градостроительства Иванова И.С.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right"/>
      </w:pPr>
      <w:r>
        <w:t>Глава города</w:t>
      </w:r>
    </w:p>
    <w:p w:rsidR="00797F73" w:rsidRDefault="00797F73">
      <w:pPr>
        <w:pStyle w:val="ConsPlusNormal"/>
        <w:jc w:val="right"/>
      </w:pPr>
      <w:r>
        <w:t>П.И.ПИМАШКОВ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right"/>
        <w:outlineLvl w:val="0"/>
      </w:pPr>
      <w:r>
        <w:t>Приложение</w:t>
      </w:r>
    </w:p>
    <w:p w:rsidR="00797F73" w:rsidRDefault="00797F73">
      <w:pPr>
        <w:pStyle w:val="ConsPlusNormal"/>
        <w:jc w:val="right"/>
      </w:pPr>
      <w:r>
        <w:t>к Распоряжению</w:t>
      </w:r>
    </w:p>
    <w:p w:rsidR="00797F73" w:rsidRDefault="00797F73">
      <w:pPr>
        <w:pStyle w:val="ConsPlusNormal"/>
        <w:jc w:val="right"/>
      </w:pPr>
      <w:r>
        <w:t>администрации города</w:t>
      </w:r>
    </w:p>
    <w:p w:rsidR="00797F73" w:rsidRDefault="00797F73">
      <w:pPr>
        <w:pStyle w:val="ConsPlusNormal"/>
        <w:jc w:val="right"/>
      </w:pPr>
      <w:r>
        <w:t>от 8 февраля 2011 г. N 15-р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</w:pPr>
      <w:bookmarkStart w:id="0" w:name="P39"/>
      <w:bookmarkEnd w:id="0"/>
      <w:r>
        <w:t>ПОЛОЖЕНИЕ</w:t>
      </w:r>
    </w:p>
    <w:p w:rsidR="00797F73" w:rsidRDefault="00797F73">
      <w:pPr>
        <w:pStyle w:val="ConsPlusTitle"/>
        <w:jc w:val="center"/>
      </w:pPr>
      <w:r>
        <w:t>ОБ УПРАВЛЕНИИ УЧЕТА И РЕАЛИЗАЦИИ ЖИЛИЩНОЙ ПОЛИТИКИ</w:t>
      </w:r>
    </w:p>
    <w:p w:rsidR="00797F73" w:rsidRDefault="00797F73">
      <w:pPr>
        <w:pStyle w:val="ConsPlusTitle"/>
        <w:jc w:val="center"/>
      </w:pPr>
      <w:r>
        <w:lastRenderedPageBreak/>
        <w:t>АДМИНИСТРАЦИИ ГОРОДА КРАСНОЯРСКА</w:t>
      </w:r>
    </w:p>
    <w:p w:rsidR="00797F73" w:rsidRDefault="00797F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797F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г. Красноярска от 20.02.2024 </w:t>
            </w:r>
            <w:hyperlink r:id="rId35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797F73" w:rsidRDefault="00797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15.08.2024 </w:t>
            </w:r>
            <w:hyperlink r:id="rId36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F73" w:rsidRDefault="00797F73">
            <w:pPr>
              <w:pStyle w:val="ConsPlusNormal"/>
            </w:pPr>
          </w:p>
        </w:tc>
      </w:tr>
    </w:tbl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I. ОБЩИЕ ПОЛОЖЕНИЯ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1. Управление учета и реализации жилищной политики администрации города Красноярска (далее - Управление) является органом администрации города Красноярска без прав юридического лица, созданным с целью реализации полномочий администрации города в области формирования и использования муниципального жилищного фонда, обеспечения условий для осуществления гражданами права на жилище.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2. Управление в своей деятельности непосредственно подчиняется первому заместителю Главы города, в ведении которого находятся вопросы формирования, управления и распоряжения (отчуждения) муниципальным жилищным фондом, реализации на территории города программ в жилищной сфере.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3. Управление в своей деятельности руководствуется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Красноярского края, </w:t>
      </w:r>
      <w:hyperlink r:id="rId38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иными правовыми актами города Красноярска, а также настоящим Положением.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4. Управление создается и упраздняется Главой города в установленном порядке.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5. Финансирование деятельности Управления осуществляется за счет средств бюджета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6. Управление в своей деятельности взаимодействует с органами государственной власти, органами администрации города, предприятиями, учреждениями и организациями различных организационно-правовых форм и форм собственности.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7. Управление несет ответственность за исполнение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в рамках возложенных полномочий.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II. ЗАДАЧИ УПРАВЛЕНИЯ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8. Разработка и внедрение рыночных механизмов удовлетворения спроса населения города на жилье.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9. Обеспечение жилыми помещениями (улучшение жилищных условий) малоимущих и иных определенных действующим законодательством и правовыми актами города категорий граждан.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10. Обеспечение законности, информационной открытости в деятельности Управления.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11. Обеспечение предотвращения, выявления и устранения коррупционных проявлений в деятельности Управления.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12. Обеспечение контроля за целевым использованием бюджетных средств Управлением.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III. ФУНКЦИИ УПРАВЛЕНИЯ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bookmarkStart w:id="1" w:name="P66"/>
      <w:bookmarkEnd w:id="1"/>
      <w:r>
        <w:t>13. Разрабатывает правовые акты города по вопросам, относящимся к компетенции Управления, в том числе: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включения муниципальных жилых помещений, в отношении которых Управление осуществляет функции по распоряжению и отчуждению в соответствии с действующим законодательством, настоящим Положением и иными правовыми актами города, в соответствующий муниципальный жилищный фонд (исключения из фонда):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включения в фонд (исключения из фонда) коммерческого использования;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включения в число служебных жилых помещений специализированного жилищного фонда (исключения из числа служебных);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включения в специализированный жилищный фонд в качестве жилых помещений для детей-сирот и детей, оставшихся без попечения родителей, лиц из числа детей-сирот и детей, оставшихся без попечения родителей (исключения из специализированного жилищного фонда);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приема в муниципальную собственность жилых помещений, распределения и отчуждения муниципальных жилых помещений, в отношении которых Управление осуществляет соответствующие функции согласно действующему законодательству, настоящему Положению и иным правовым актам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льготной продажи муниципальных жилых помещений;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признания молодых семей участниками (исключения из числа участников) государственных и муниципальных жилищных программ;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молодых семей - участников государственной или муниципальной жилищных программ, изъявивших желание получить, соответственно, социальную или муниципальную выплату в планируемом году;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молодых семей - получателей социальной или муниципальной социальной выплаты;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постановки на учет (восстановления на учете, снятия с учета) граждан по категориям, установленным федеральным законодательством, нуждающихся в улучшении жилищных условий (получении жилых помещений) и имеющих право на льготное обеспечение жильем в рамках реализации жилищных программ (далее - категории граждан, установленные федеральным законодательством);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списка (внесения изменений в список, исключения из списка) участников федеральной жилищной программы по категориям граждан, установленным федеральным законодательством;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граждан, состоящих на учете нуждающихся в улучшении жилищных условий (получении жилых помещений), по категориям граждан, установленным федеральным законодательством;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граждан, состоящих на учете нуждающихся в улучшении жилищных условий (получении жилых помещений), изъявивших желание получить государственный жилищный сертификат в планируемом году, по категориям граждан, установленным федеральным законодательством;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признания граждан нуждающимися в жилых помещениях по основаниям, предусмотренным </w:t>
      </w:r>
      <w:hyperlink r:id="rId40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в целях включения в списки граждан: имеющих право быть принятыми в члены жилищно-строительных кооперативов;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включения в список (исключения из списка) граждан, нуждающихся в предоставлении жилых помещений по договорам найма жилых помещений жилищного фонда социального использования, утверждения данного списка (внесения изменений в список);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утверждения средней рыночной стоимости 1 квадратного метра общей площади жилого помещения по городу Красноярску в рамках реализации жилищных программ и переданных государственных полномочий, а также в соответствии с федеральными и краевыми нормативными правовыми актами, правовыми актами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 другим вопросам, связанным с выполнением функций Управления в соответствии с правовыми актами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Осуществляет своевременное приведение правовых актов города по вопросам, относящимся к компетенции Управления, в соответствие с действующим законодательством.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14. Обеспечивает проведение антикоррупционной экспертизы правовых актов города и их проектов, разрабатываемых Управлением.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15. Осуществляет реализацию программ в жилищной сфере, законов Красноярского края по улучшению жилищных условий граждан в порядке, установленном федеральными, краевыми правовыми актами, правовыми актами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16. В соответствии с правовыми актами Красноярского края и города участвует в реализации переданных администрации города государственных полномочий по обеспечению жилыми помещениями (предоставлению социальной выплаты) категорий граждан, указанных в законах Красноярского края: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от 24.12.2009 </w:t>
      </w:r>
      <w:hyperlink r:id="rId41">
        <w:r>
          <w:rPr>
            <w:color w:val="0000FF"/>
          </w:rPr>
          <w:t>N 9-4225</w:t>
        </w:r>
      </w:hyperlink>
      <w:r>
        <w:t xml:space="preserve">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от 08.07.2021 </w:t>
      </w:r>
      <w:hyperlink r:id="rId42">
        <w:r>
          <w:rPr>
            <w:color w:val="0000FF"/>
          </w:rPr>
          <w:t>N 11-5328</w:t>
        </w:r>
      </w:hyperlink>
      <w:r>
        <w:t xml:space="preserve">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от 08.07.2021 </w:t>
      </w:r>
      <w:hyperlink r:id="rId43">
        <w:r>
          <w:rPr>
            <w:color w:val="0000FF"/>
          </w:rPr>
          <w:t>N 11-5284</w:t>
        </w:r>
      </w:hyperlink>
      <w:r>
        <w:t xml:space="preserve"> "О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21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родителей".</w:t>
      </w:r>
    </w:p>
    <w:p w:rsidR="00797F73" w:rsidRDefault="00797F7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15.08.2024 N 268-р)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17. Участвует в формировании муниципального заказа на строительство жилья и разработке муниципальных программ в жилищной сфере.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18. Участвует в формировании муниципального жилищного фонда: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социального использования;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коммерческого использования;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специализированного (в части служебных жилых помещений, жилых помещений для детей-сирот и детей, оставшихся без попечения родителей, лиц из числа детей-сирот и детей, оставшихся без попечения родителей, а также муниципальных жилых помещений в общежитиях).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19. Осуществляет принятие в муниципальную собственность выморочного имущества в виде жилых помещений (их частей, а также долей в праве собственности на жилые помещения) в установленном действующим законодательством порядке, путем получения свидетельств о праве на наследство по закону.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20. Осуществляет государственную регистрацию от имени муниципального образования города Красноярска права (перехода права) муниципальной собственности на жилые помещения: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переходящие в муниципальную собственность в порядке наследования, в том числе во исполнение вступивших в законную силу решений судов в отношении выморочного имущества, поступивших в Управление;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поступающие в муниципальную собственность (отчуждаемые из муниципальной собственности) в результате гражданско-правовых сделок, в том числе в соответствии с правовыми актами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поступающие в муниципальную собственность в результате заключенных договоров о развитии территорий;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построенные и приобретенные за счет бюджетных средств.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21. Осуществляет государственную регистрацию от имени муниципального образования города Красноярска сделок по приобретению, за счет бюджетных средств, жилых помещений путем участия в долевом строительстве многоквартирных жилых домов.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22. Формирует пакет документов для включения (исключения) жилых помещений муниципального жилищного фонда (далее - муниципальные жилые помещения) в Реестр муниципального имущества г. Красноярска (далее - Реестр) и направляет его в департамент муниципального имущества и земельных отношений администрации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23. В соответствии с нормами действующего законодательства и правовых актов города, на основании доверенности, выданной первым заместителем Главы города, в ведении которого находятся вопросы формирования, управления, распоряжения (отчуждения) муниципальным жилищным фондом, а также реализации на территории города государственных программ Российской Федерации и Красноярского края, муниципальных программ в жилищной сфере, в пределах своей компетенции Управление: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заключает гражданско-правовые сделки по приему в муниципальную собственность жилых помещений и по распоряжению муниципальными жилыми помещениями;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передает в собственность граждан муниципальные жилые помещения на основании правовых актов города в порядке, установленном действующим законодательством;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снимает залог с жилых помещений, проданных (обмененных) с рассрочкой платежа;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обеспечивает внесение в Единый государственный реестр прав на недвижимое имущество (далее - ЕГРН) сведений о включении муниципальных жилых помещений в специализированный жилищный фонд в качестве служебных жилых помещений и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Для осуществления вышеуказанных функций Управление готовит и передает на государственную регистрацию (внесение сведений в ЕГРН) все необходимые документы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24. Осуществляет распределение муниципальных жилых помещений фонда социального использования, руководствуясь Единым списком граждан, нуждающихся в жилых помещениях, предоставляемых по договорам социального найма (далее - Единый список), с учетом решения комиссии по распределению муниципального жилья социального и коммерческого использования администрации города администрациям районов в городе для предоставления указанных помещений по договорам социального найма гражданам, состоящим на учете в качестве нуждающихся в жилых помещениях, предоставляемых по договорам социального найма (далее - жилищный учет).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25. Осуществляет подготовку и выдачу справок: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об отказе муниципального образования от права преимущественной покупки комнат (долей) в коммунальных квартирах;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 наличии (отсутствии), аннулировании брони на муниципальные жилые помещения;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 согласии от имени муниципального образования на регистрацию граждан по месту жительства в жилых помещениях, участником долевой собственности на которые является муниципальное образование;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 наличии (отсутствии) у граждан жилых помещений муниципального жилищного фонда города Красноярска, предоставленных по договору социального найма, договору найма жилых помещений жилищного фонда социального использования и договору найма специализированного жилого помещения.</w:t>
      </w:r>
    </w:p>
    <w:p w:rsidR="00797F73" w:rsidRDefault="00797F73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26. Организует и обеспечивает работу комиссии по распределению муниципального жилья социального и коммерческого использования администрации города и жилищной комиссии при администрации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 порядке, установленном правовыми актами города, информирует граждан, органы и территориальные подразделения администрации города о решениях указанных комиссий.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27. Готовит предложения для рассмотрения на комиссиях, указанных в </w:t>
      </w:r>
      <w:hyperlink w:anchor="P117">
        <w:r>
          <w:rPr>
            <w:color w:val="0000FF"/>
          </w:rPr>
          <w:t>пункте 26</w:t>
        </w:r>
      </w:hyperlink>
      <w:r>
        <w:t xml:space="preserve"> настоящего Положения, по вопросам, указанным в </w:t>
      </w:r>
      <w:hyperlink w:anchor="P66">
        <w:r>
          <w:rPr>
            <w:color w:val="0000FF"/>
          </w:rPr>
          <w:t>пункте 13</w:t>
        </w:r>
      </w:hyperlink>
      <w:r>
        <w:t xml:space="preserve"> настоящего Положения, а также иным вопросам в соответствии с правовыми актами города, в том числе о включении муниципальных жилых помещений в фонд (исключении из фонда) социального использования.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28. Осуществляет учет граждан, уволенных с военной службы (службы), и приравненных к ним лиц, вставших на учет нуждающихся в жилых помещениях до 01.01.2005.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29. Осуществляет постановку на учет и ведение учета граждан: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признанных в установленном порядке вынужденными переселенцами;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подвергшихся воздействию радиации вследствие радиационных аварий и катастроф, и приравненных к ним лиц;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замещающих должности муниципальной службы в органах администрации города без прав юридического лица и имеющих право на предоставление служебных жилых помещений муниципального специализированного жилищного фонда.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30. В порядке, установленном федеральными и краевыми нормативными правовыми актами, Управление формирует списки граждан: имеющих право быть принятыми в члены жилищно-строительных кооперативов;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31. Осуществляет признание граждан нуждающимися в жилых помещениях по основаниям, предусмотренным </w:t>
      </w:r>
      <w:hyperlink r:id="rId46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в целях включения в список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32. Осуществляет ведение Единого списка посредством эксплуатации Единой автоматизированной информационной системы учета граждан, нуждающихся в жилых помещениях, предоставляемых по договорам социального найма, по городу Красноярску (далее - ЕАИС).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33. В порядке, установленном правовыми актами города, осуществляет контроль за деятельностью администраций районов в городе в части: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внесения в ЕАИС сведений о гражданах, в том числе имеющих внеочередное право на предоставление жилых помещений по договору социального найма, принятых на учет, состоящих на жилищном учете, а также снятых с жилищного учета;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предоставления (заселения) жилых помещений, поступивших в муниципальный жилищный фонд либо освободившихся от нанимателей, включаемых (включенных) в фонд социального использования либо в специализированный жилищный фонд в качестве служебных жилых помещений, муниципальных жилых помещений в общежитиях, а также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признания молодых семей нуждающимися в жилом помещении и имеющими достаточные доходы или средства для участия в государственных и муниципальных жилищных программах в соответствии с действующим законодательством и правовыми актами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34. Организует функциональное и методическое взаимодействие со специалистами по жилищным вопросам администраций районов в городе.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35. Ведет работу по рассмотрению обращений граждан и организаций по вопросам своей компетенции.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36. Осуществляет предоставление муниципальных услуг в порядке, установленном действующим законодательством и правовыми актами города.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37. Представляет отчетность органам государственной власти, органам администрации города в порядке, установленном действующим законодательством и правовыми актами города, в рамках компетенции Управления.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38. Осуществляет размещение информации о предоставленных гражданам в рамках компетенции Управления мерах социальной поддержки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39. Осуществляет функции администратора доходов бюджета города от продажи квартир в соответствии с правовыми актами города.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40. В пределах компетенции Управления осуществляет иные функции, предусмотренные правовыми актами города.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IV. ОБЕСПЕЧЕНИЕ ДЕЯТЕЛЬНОСТИ УПРАВЛЕНИЯ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41. Управление для осуществления возложенных на него задач и функций имеет право: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от органов администрации города, органов местного самоуправления и государственных органов, а также организаций и должностных лиц информацию, необходимую для осуществления Управлением своих функций;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пользоваться в установленном порядке информационными банками данных администрации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участвовать в работе совещательных органов, а также в заседаниях и совещаниях, проводимых должностными лицами администрации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вносить предложения Главе города об отмене, изменении правовых актов города по вопросам, входящим в компетенцию Управления.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V. ОРГАНИЗАЦИЯ ДЕЯТЕЛЬНОСТИ УПРАВЛЕНИЯ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42. Руководство деятельностью Управления на основе единоначалия осуществляет руководитель Управления (далее - Руководитель), назначаемый на должность и освобождаемый от должности Главой города в установленном законом порядке.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43. В своей деятельности Руководитель непосредственно подчиняется первому заместителю Главы города, в ведении которого находятся вопросы формирования, управления и распоряжения (отчуждения) муниципальным жилищным фондом, реализации на территории города программ в жилищной сфере.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44. Руководитель имеет заместителей. В период отсутствия Руководителя его полномочия осуществляет один из заместителей.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45. Руководитель: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осуществляет руководство Управлением и несет ответственность за исполнение возложенных на Управление задач и функций;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относящимся к компетенции Управления;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совместно с управлением кадровой политики и организационной работы администрации города разрабатывает структуру и штатное расписание Управления и представляет их на утверждение Главе города;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вносит в управление кадровой политики и организационной работы администрации города в порядке, установленном правовыми актами города, предложения о назначении и освобождении от должности, привлечении к дисциплинарной ответственности и поощрении работников Управления;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Управления и должностные инструкции работников;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подписывает исходящую корреспонденцию Управления, согласовывает проекты правовых актов города по вопросам, относящимся к компетенции Управления;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организует и контролирует исполнение правовых актов города работниками Управления по вопросам, относящимся к компетенции Управления;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осуществляет прием граждан, рассматривает заявления и жалобы по вопросам, относящимся к компетенции Управления;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 xml:space="preserve">в рамках реализации </w:t>
      </w:r>
      <w:hyperlink r:id="rId48">
        <w:r>
          <w:rPr>
            <w:color w:val="0000FF"/>
          </w:rPr>
          <w:t>Закона</w:t>
        </w:r>
      </w:hyperlink>
      <w:r>
        <w:t xml:space="preserve"> Красноярского края от 08.07.2021 N 11-5328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 принимает решения о приеме заявления о выдаче сертификата к рассмотрению либо об отказе в приеме заявления о выдаче сертификата к рассмотрению, которые оформляются в виде соответствующего уведомления заявителю;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принимает меры по предотвращению и урегулированию конфликта интересов;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выполняет иные функции, необходимые для решения поставленных перед Управлением задач и функций.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Title"/>
        <w:jc w:val="center"/>
        <w:outlineLvl w:val="1"/>
      </w:pPr>
      <w:r>
        <w:t>VI. ОТВЕТСТВЕННОСТЬ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ind w:firstLine="540"/>
        <w:jc w:val="both"/>
      </w:pPr>
      <w:r>
        <w:t>46. Руководитель несет персональную ответственность: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 выполнение задач и функций, определенных настоящим Положением;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 целевое использование бюджетных средств, соблюдение установленного порядка оказания услуг населению;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 разрабатываемые правовые акты и принимаемые решения в рамках возложенных полномочий;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за непринятие мер по предупреждению коррупционных проявлений.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47. Муниципальные служащие Управления несут дисциплинарную ответственность за неисполнение или ненадлежащее исполнение возложенных на них должностных обязанностей.</w:t>
      </w:r>
    </w:p>
    <w:p w:rsidR="00797F73" w:rsidRDefault="00797F73">
      <w:pPr>
        <w:pStyle w:val="ConsPlusNormal"/>
        <w:spacing w:before="220"/>
        <w:ind w:firstLine="540"/>
        <w:jc w:val="both"/>
      </w:pPr>
      <w:r>
        <w:t>48. На работников Управления распространяются ограничения, предусмотренные действующим законодательством для лиц, замещающих должности муниципальной службы.</w:t>
      </w: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jc w:val="both"/>
      </w:pPr>
    </w:p>
    <w:p w:rsidR="00797F73" w:rsidRDefault="00797F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797F73">
      <w:bookmarkStart w:id="3" w:name="_GoBack"/>
      <w:bookmarkEnd w:id="3"/>
    </w:p>
    <w:sectPr w:rsidR="00AE278A" w:rsidSect="001F18D9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73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97F73"/>
    <w:rsid w:val="007A74AE"/>
    <w:rsid w:val="0080367A"/>
    <w:rsid w:val="00892546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F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F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F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09544&amp;dst=100005" TargetMode="External"/><Relationship Id="rId18" Type="http://schemas.openxmlformats.org/officeDocument/2006/relationships/hyperlink" Target="https://login.consultant.ru/link/?req=doc&amp;base=RLAW123&amp;n=209306&amp;dst=100005" TargetMode="External"/><Relationship Id="rId26" Type="http://schemas.openxmlformats.org/officeDocument/2006/relationships/hyperlink" Target="https://login.consultant.ru/link/?req=doc&amp;base=RLAW123&amp;n=327505&amp;dst=100005" TargetMode="External"/><Relationship Id="rId39" Type="http://schemas.openxmlformats.org/officeDocument/2006/relationships/hyperlink" Target="https://login.consultant.ru/link/?req=doc&amp;base=LAW&amp;n=480999" TargetMode="External"/><Relationship Id="rId21" Type="http://schemas.openxmlformats.org/officeDocument/2006/relationships/hyperlink" Target="https://login.consultant.ru/link/?req=doc&amp;base=RLAW123&amp;n=223347&amp;dst=100005" TargetMode="External"/><Relationship Id="rId34" Type="http://schemas.openxmlformats.org/officeDocument/2006/relationships/hyperlink" Target="https://login.consultant.ru/link/?req=doc&amp;base=RLAW123&amp;n=61745" TargetMode="External"/><Relationship Id="rId42" Type="http://schemas.openxmlformats.org/officeDocument/2006/relationships/hyperlink" Target="https://login.consultant.ru/link/?req=doc&amp;base=RLAW123&amp;n=336033" TargetMode="External"/><Relationship Id="rId47" Type="http://schemas.openxmlformats.org/officeDocument/2006/relationships/hyperlink" Target="https://login.consultant.ru/link/?req=doc&amp;base=LAW&amp;n=48935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6910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88156&amp;dst=100005" TargetMode="External"/><Relationship Id="rId29" Type="http://schemas.openxmlformats.org/officeDocument/2006/relationships/hyperlink" Target="https://login.consultant.ru/link/?req=doc&amp;base=RLAW123&amp;n=348113&amp;dst=101188" TargetMode="External"/><Relationship Id="rId11" Type="http://schemas.openxmlformats.org/officeDocument/2006/relationships/hyperlink" Target="https://login.consultant.ru/link/?req=doc&amp;base=RLAW123&amp;n=90497&amp;dst=100005" TargetMode="External"/><Relationship Id="rId24" Type="http://schemas.openxmlformats.org/officeDocument/2006/relationships/hyperlink" Target="https://login.consultant.ru/link/?req=doc&amp;base=RLAW123&amp;n=287722&amp;dst=100011" TargetMode="External"/><Relationship Id="rId32" Type="http://schemas.openxmlformats.org/officeDocument/2006/relationships/hyperlink" Target="https://login.consultant.ru/link/?req=doc&amp;base=RLAW123&amp;n=40323" TargetMode="External"/><Relationship Id="rId37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LAW&amp;n=497804&amp;dst=100361" TargetMode="External"/><Relationship Id="rId45" Type="http://schemas.openxmlformats.org/officeDocument/2006/relationships/hyperlink" Target="https://login.consultant.ru/link/?req=doc&amp;base=LAW&amp;n=483234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23&amp;n=86151&amp;dst=100005" TargetMode="External"/><Relationship Id="rId19" Type="http://schemas.openxmlformats.org/officeDocument/2006/relationships/hyperlink" Target="https://login.consultant.ru/link/?req=doc&amp;base=RLAW123&amp;n=210671&amp;dst=100005" TargetMode="External"/><Relationship Id="rId31" Type="http://schemas.openxmlformats.org/officeDocument/2006/relationships/hyperlink" Target="https://login.consultant.ru/link/?req=doc&amp;base=RLAW123&amp;n=61745" TargetMode="External"/><Relationship Id="rId44" Type="http://schemas.openxmlformats.org/officeDocument/2006/relationships/hyperlink" Target="https://login.consultant.ru/link/?req=doc&amp;base=RLAW123&amp;n=337891&amp;dst=100005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83495&amp;dst=100005" TargetMode="External"/><Relationship Id="rId14" Type="http://schemas.openxmlformats.org/officeDocument/2006/relationships/hyperlink" Target="https://login.consultant.ru/link/?req=doc&amp;base=RLAW123&amp;n=104463&amp;dst=100005" TargetMode="External"/><Relationship Id="rId22" Type="http://schemas.openxmlformats.org/officeDocument/2006/relationships/hyperlink" Target="https://login.consultant.ru/link/?req=doc&amp;base=RLAW123&amp;n=238658&amp;dst=100005" TargetMode="External"/><Relationship Id="rId27" Type="http://schemas.openxmlformats.org/officeDocument/2006/relationships/hyperlink" Target="https://login.consultant.ru/link/?req=doc&amp;base=RLAW123&amp;n=337891&amp;dst=100005" TargetMode="External"/><Relationship Id="rId30" Type="http://schemas.openxmlformats.org/officeDocument/2006/relationships/hyperlink" Target="https://login.consultant.ru/link/?req=doc&amp;base=RLAW123&amp;n=348113&amp;dst=100480" TargetMode="External"/><Relationship Id="rId35" Type="http://schemas.openxmlformats.org/officeDocument/2006/relationships/hyperlink" Target="https://login.consultant.ru/link/?req=doc&amp;base=RLAW123&amp;n=327505&amp;dst=100005" TargetMode="External"/><Relationship Id="rId43" Type="http://schemas.openxmlformats.org/officeDocument/2006/relationships/hyperlink" Target="https://login.consultant.ru/link/?req=doc&amp;base=RLAW123&amp;n=345103" TargetMode="External"/><Relationship Id="rId48" Type="http://schemas.openxmlformats.org/officeDocument/2006/relationships/hyperlink" Target="https://login.consultant.ru/link/?req=doc&amp;base=RLAW123&amp;n=336033" TargetMode="External"/><Relationship Id="rId8" Type="http://schemas.openxmlformats.org/officeDocument/2006/relationships/hyperlink" Target="https://login.consultant.ru/link/?req=doc&amp;base=RLAW123&amp;n=80274&amp;dst=100005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96265&amp;dst=100005" TargetMode="External"/><Relationship Id="rId17" Type="http://schemas.openxmlformats.org/officeDocument/2006/relationships/hyperlink" Target="https://login.consultant.ru/link/?req=doc&amp;base=RLAW123&amp;n=204277&amp;dst=100005" TargetMode="External"/><Relationship Id="rId25" Type="http://schemas.openxmlformats.org/officeDocument/2006/relationships/hyperlink" Target="https://login.consultant.ru/link/?req=doc&amp;base=RLAW123&amp;n=314838&amp;dst=100005" TargetMode="External"/><Relationship Id="rId33" Type="http://schemas.openxmlformats.org/officeDocument/2006/relationships/hyperlink" Target="https://login.consultant.ru/link/?req=doc&amp;base=RLAW123&amp;n=49190" TargetMode="External"/><Relationship Id="rId38" Type="http://schemas.openxmlformats.org/officeDocument/2006/relationships/hyperlink" Target="https://login.consultant.ru/link/?req=doc&amp;base=RLAW123&amp;n=348113" TargetMode="External"/><Relationship Id="rId46" Type="http://schemas.openxmlformats.org/officeDocument/2006/relationships/hyperlink" Target="https://login.consultant.ru/link/?req=doc&amp;base=LAW&amp;n=497804&amp;dst=100361" TargetMode="External"/><Relationship Id="rId20" Type="http://schemas.openxmlformats.org/officeDocument/2006/relationships/hyperlink" Target="https://login.consultant.ru/link/?req=doc&amp;base=RLAW123&amp;n=215234&amp;dst=100005" TargetMode="External"/><Relationship Id="rId41" Type="http://schemas.openxmlformats.org/officeDocument/2006/relationships/hyperlink" Target="https://login.consultant.ru/link/?req=doc&amp;base=RLAW123&amp;n=3451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65080&amp;dst=100005" TargetMode="External"/><Relationship Id="rId15" Type="http://schemas.openxmlformats.org/officeDocument/2006/relationships/hyperlink" Target="https://login.consultant.ru/link/?req=doc&amp;base=RLAW123&amp;n=111678&amp;dst=100005" TargetMode="External"/><Relationship Id="rId23" Type="http://schemas.openxmlformats.org/officeDocument/2006/relationships/hyperlink" Target="https://login.consultant.ru/link/?req=doc&amp;base=RLAW123&amp;n=272956&amp;dst=100006" TargetMode="External"/><Relationship Id="rId28" Type="http://schemas.openxmlformats.org/officeDocument/2006/relationships/hyperlink" Target="https://login.consultant.ru/link/?req=doc&amp;base=RLAW123&amp;n=348113&amp;dst=100396" TargetMode="External"/><Relationship Id="rId36" Type="http://schemas.openxmlformats.org/officeDocument/2006/relationships/hyperlink" Target="https://login.consultant.ru/link/?req=doc&amp;base=RLAW123&amp;n=337891&amp;dst=100005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442D5E-B80A-45F8-B517-F9CE61100BA3}"/>
</file>

<file path=customXml/itemProps2.xml><?xml version="1.0" encoding="utf-8"?>
<ds:datastoreItem xmlns:ds="http://schemas.openxmlformats.org/officeDocument/2006/customXml" ds:itemID="{998052B8-5CD9-4F42-A013-1E07B483D740}"/>
</file>

<file path=customXml/itemProps3.xml><?xml version="1.0" encoding="utf-8"?>
<ds:datastoreItem xmlns:ds="http://schemas.openxmlformats.org/officeDocument/2006/customXml" ds:itemID="{F89B2163-081B-44F2-B803-C103E9D30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4041</Words>
  <Characters>23037</Characters>
  <Application>Microsoft Office Word</Application>
  <DocSecurity>0</DocSecurity>
  <Lines>191</Lines>
  <Paragraphs>54</Paragraphs>
  <ScaleCrop>false</ScaleCrop>
  <Company/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2025-02-21T08:36:00Z</dcterms:created>
  <dcterms:modified xsi:type="dcterms:W3CDTF">2025-02-21T08:36:00Z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